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4107D" w14:textId="621C4C61" w:rsidR="00247C4A" w:rsidRPr="00C412D3" w:rsidRDefault="000E028F" w:rsidP="00CD3C1B">
      <w:pPr>
        <w:jc w:val="both"/>
        <w:rPr>
          <w:rFonts w:ascii="Arial" w:hAnsi="Arial" w:cs="Arial"/>
          <w:b/>
          <w:color w:val="C00000"/>
          <w:sz w:val="24"/>
          <w:szCs w:val="24"/>
          <w:u w:val="single"/>
          <w:lang w:val="en-US"/>
        </w:rPr>
      </w:pPr>
      <w:r w:rsidRPr="00C412D3">
        <w:rPr>
          <w:rFonts w:ascii="Arial" w:hAnsi="Arial" w:cs="Arial"/>
          <w:b/>
          <w:color w:val="C00000"/>
          <w:sz w:val="24"/>
          <w:szCs w:val="24"/>
          <w:u w:val="single"/>
          <w:lang w:val="en-US"/>
        </w:rPr>
        <w:t>Understanding land tenure and property rights in your city</w:t>
      </w:r>
    </w:p>
    <w:p w14:paraId="72AAFD34" w14:textId="2B937A3E" w:rsidR="000E028F" w:rsidRPr="00B52500" w:rsidRDefault="000E028F" w:rsidP="00CD3C1B">
      <w:pPr>
        <w:jc w:val="both"/>
        <w:rPr>
          <w:rFonts w:ascii="Arial" w:hAnsi="Arial" w:cs="Arial"/>
          <w:sz w:val="24"/>
          <w:szCs w:val="24"/>
          <w:lang w:val="en-US"/>
        </w:rPr>
      </w:pPr>
      <w:r w:rsidRPr="00B52500">
        <w:rPr>
          <w:rFonts w:ascii="Arial" w:hAnsi="Arial" w:cs="Arial"/>
          <w:sz w:val="24"/>
          <w:szCs w:val="24"/>
          <w:lang w:val="en-US"/>
        </w:rPr>
        <w:t>The law of unintended consequences shows that unless one can anticipate the outcomes of a policy, they will be different from what is intended. This applies very much to policies on land tenure and property rights, so it is vital that before preparing a policy to improve tenure security, a sound understanding of the full range of existing tenure categories and the associated rights that apply to them are understood.</w:t>
      </w:r>
    </w:p>
    <w:p w14:paraId="4A7926E2" w14:textId="50A9EC5D" w:rsidR="000E028F" w:rsidRPr="00B52500" w:rsidRDefault="000E028F" w:rsidP="00CD3C1B">
      <w:pPr>
        <w:jc w:val="both"/>
        <w:rPr>
          <w:rFonts w:ascii="Arial" w:hAnsi="Arial" w:cs="Arial"/>
          <w:sz w:val="24"/>
          <w:szCs w:val="24"/>
          <w:lang w:val="en-US"/>
        </w:rPr>
      </w:pPr>
      <w:r w:rsidRPr="00B52500">
        <w:rPr>
          <w:rFonts w:ascii="Arial" w:hAnsi="Arial" w:cs="Arial"/>
          <w:sz w:val="24"/>
          <w:szCs w:val="24"/>
          <w:lang w:val="en-US"/>
        </w:rPr>
        <w:t xml:space="preserve">In practice, this is difficult as in any city there are a range of both formal, non-formal and semi-formal categories within the overall land and housing market. </w:t>
      </w:r>
    </w:p>
    <w:p w14:paraId="273552D6" w14:textId="2B60DECA" w:rsidR="00B52500" w:rsidRPr="00B52500" w:rsidRDefault="00CD3C1B" w:rsidP="00B52500">
      <w:pPr>
        <w:jc w:val="both"/>
        <w:rPr>
          <w:rFonts w:ascii="Arial" w:hAnsi="Arial" w:cs="Arial"/>
          <w:sz w:val="24"/>
          <w:szCs w:val="24"/>
          <w:lang w:val="en-US"/>
        </w:rPr>
      </w:pPr>
      <w:proofErr w:type="gramStart"/>
      <w:r w:rsidRPr="00B52500">
        <w:rPr>
          <w:rFonts w:ascii="Arial" w:hAnsi="Arial" w:cs="Arial"/>
          <w:sz w:val="24"/>
          <w:szCs w:val="24"/>
          <w:lang w:val="en-US"/>
        </w:rPr>
        <w:t>First of all</w:t>
      </w:r>
      <w:proofErr w:type="gramEnd"/>
      <w:r w:rsidRPr="00B52500">
        <w:rPr>
          <w:rFonts w:ascii="Arial" w:hAnsi="Arial" w:cs="Arial"/>
          <w:sz w:val="24"/>
          <w:szCs w:val="24"/>
          <w:lang w:val="en-US"/>
        </w:rPr>
        <w:t xml:space="preserve">, </w:t>
      </w:r>
      <w:r w:rsidR="000E028F" w:rsidRPr="00B52500">
        <w:rPr>
          <w:rFonts w:ascii="Arial" w:hAnsi="Arial" w:cs="Arial"/>
          <w:sz w:val="24"/>
          <w:szCs w:val="24"/>
          <w:lang w:val="en-US"/>
        </w:rPr>
        <w:t xml:space="preserve">we need to define what we mean by land tenure and property rights. </w:t>
      </w:r>
      <w:r w:rsidR="00B52500">
        <w:rPr>
          <w:rFonts w:ascii="Arial" w:hAnsi="Arial" w:cs="Arial"/>
          <w:sz w:val="24"/>
          <w:szCs w:val="24"/>
          <w:lang w:val="en-US"/>
        </w:rPr>
        <w:t xml:space="preserve">GPA considers it important to distinguish between tenure status and property rights. </w:t>
      </w:r>
      <w:r w:rsidR="00B52500" w:rsidRPr="00B52500">
        <w:rPr>
          <w:rFonts w:ascii="Arial" w:hAnsi="Arial" w:cs="Arial"/>
          <w:sz w:val="24"/>
          <w:szCs w:val="24"/>
          <w:lang w:val="en-US"/>
        </w:rPr>
        <w:t>There is no single definition, but GPA applies the following:</w:t>
      </w:r>
    </w:p>
    <w:p w14:paraId="4CD9EC38" w14:textId="20BC88B8" w:rsidR="00B52500" w:rsidRPr="00C412D3" w:rsidRDefault="00B52500" w:rsidP="00CD3C1B">
      <w:pPr>
        <w:jc w:val="both"/>
        <w:rPr>
          <w:rFonts w:ascii="Arial" w:hAnsi="Arial" w:cs="Arial"/>
          <w:b/>
          <w:bCs/>
          <w:color w:val="C00000"/>
          <w:sz w:val="24"/>
          <w:szCs w:val="24"/>
          <w:lang w:val="en-US"/>
        </w:rPr>
      </w:pPr>
      <w:r w:rsidRPr="00C412D3">
        <w:rPr>
          <w:rFonts w:ascii="Arial" w:hAnsi="Arial" w:cs="Arial"/>
          <w:b/>
          <w:bCs/>
          <w:color w:val="C00000"/>
          <w:sz w:val="24"/>
          <w:szCs w:val="24"/>
          <w:lang w:val="en-US"/>
        </w:rPr>
        <w:t>Defining land tenure:</w:t>
      </w:r>
    </w:p>
    <w:p w14:paraId="54EB83D7" w14:textId="7BD5CFA9" w:rsidR="000E028F" w:rsidRPr="00B52500" w:rsidRDefault="000E028F" w:rsidP="00B52500">
      <w:pPr>
        <w:pStyle w:val="ListeParagraf"/>
        <w:numPr>
          <w:ilvl w:val="0"/>
          <w:numId w:val="8"/>
        </w:numPr>
        <w:jc w:val="both"/>
        <w:rPr>
          <w:rFonts w:ascii="Arial" w:hAnsi="Arial" w:cs="Arial"/>
        </w:rPr>
      </w:pPr>
      <w:r w:rsidRPr="00B52500">
        <w:rPr>
          <w:rFonts w:ascii="Arial" w:eastAsiaTheme="minorEastAsia" w:hAnsi="Arial" w:cs="Arial"/>
          <w:color w:val="000000" w:themeColor="text1"/>
          <w:kern w:val="24"/>
        </w:rPr>
        <w:t xml:space="preserve">Land tenure </w:t>
      </w:r>
      <w:proofErr w:type="gramStart"/>
      <w:r w:rsidRPr="00B52500">
        <w:rPr>
          <w:rFonts w:ascii="Arial" w:eastAsiaTheme="minorEastAsia" w:hAnsi="Arial" w:cs="Arial"/>
          <w:color w:val="000000" w:themeColor="text1"/>
          <w:kern w:val="24"/>
        </w:rPr>
        <w:t>is</w:t>
      </w:r>
      <w:r w:rsidR="00B52500">
        <w:rPr>
          <w:rFonts w:ascii="Arial" w:eastAsiaTheme="minorEastAsia" w:hAnsi="Arial" w:cs="Arial"/>
          <w:color w:val="000000" w:themeColor="text1"/>
          <w:kern w:val="24"/>
        </w:rPr>
        <w:t>:</w:t>
      </w:r>
      <w:proofErr w:type="gramEnd"/>
      <w:r w:rsidRPr="00B52500">
        <w:rPr>
          <w:rFonts w:ascii="Arial" w:eastAsiaTheme="minorEastAsia" w:hAnsi="Arial" w:cs="Arial"/>
          <w:i/>
          <w:iCs/>
          <w:color w:val="000000" w:themeColor="text1"/>
          <w:kern w:val="24"/>
        </w:rPr>
        <w:t xml:space="preserve"> the mode by which land is held or owned, or the set of relationships among people concerning land or its product.</w:t>
      </w:r>
    </w:p>
    <w:p w14:paraId="758016A2" w14:textId="1A433CEF" w:rsidR="00B52500" w:rsidRDefault="00B52500" w:rsidP="00B52500">
      <w:pPr>
        <w:jc w:val="both"/>
        <w:rPr>
          <w:rFonts w:ascii="Arial" w:hAnsi="Arial" w:cs="Arial"/>
        </w:rPr>
      </w:pPr>
    </w:p>
    <w:p w14:paraId="1CD8C561" w14:textId="420B52B5" w:rsidR="00B52500" w:rsidRPr="00C412D3" w:rsidRDefault="00B52500" w:rsidP="00B52500">
      <w:pPr>
        <w:jc w:val="both"/>
        <w:rPr>
          <w:rFonts w:ascii="Arial" w:hAnsi="Arial" w:cs="Arial"/>
          <w:b/>
          <w:bCs/>
          <w:color w:val="C00000"/>
        </w:rPr>
      </w:pPr>
      <w:r w:rsidRPr="00C412D3">
        <w:rPr>
          <w:rFonts w:ascii="Arial" w:hAnsi="Arial" w:cs="Arial"/>
          <w:b/>
          <w:bCs/>
          <w:color w:val="C00000"/>
        </w:rPr>
        <w:t>Defining property rights:</w:t>
      </w:r>
    </w:p>
    <w:p w14:paraId="578D23C3" w14:textId="548C77E9" w:rsidR="000E028F" w:rsidRPr="00B52500" w:rsidRDefault="000E028F" w:rsidP="00B52500">
      <w:pPr>
        <w:pStyle w:val="ListeParagraf"/>
        <w:numPr>
          <w:ilvl w:val="0"/>
          <w:numId w:val="7"/>
        </w:numPr>
        <w:ind w:left="810" w:hanging="630"/>
        <w:jc w:val="both"/>
        <w:rPr>
          <w:rFonts w:ascii="Arial" w:hAnsi="Arial" w:cs="Arial"/>
        </w:rPr>
      </w:pPr>
      <w:r w:rsidRPr="00B52500">
        <w:rPr>
          <w:rFonts w:ascii="Arial" w:eastAsiaTheme="minorEastAsia" w:hAnsi="Arial" w:cs="Arial"/>
          <w:color w:val="000000" w:themeColor="text1"/>
          <w:kern w:val="24"/>
        </w:rPr>
        <w:t xml:space="preserve">Property rights </w:t>
      </w:r>
      <w:proofErr w:type="gramStart"/>
      <w:r w:rsidRPr="00B52500">
        <w:rPr>
          <w:rFonts w:ascii="Arial" w:eastAsiaTheme="minorEastAsia" w:hAnsi="Arial" w:cs="Arial"/>
          <w:color w:val="000000" w:themeColor="text1"/>
          <w:kern w:val="24"/>
        </w:rPr>
        <w:t>are</w:t>
      </w:r>
      <w:r w:rsidR="00B52500">
        <w:rPr>
          <w:rFonts w:ascii="Arial" w:eastAsiaTheme="minorEastAsia" w:hAnsi="Arial" w:cs="Arial"/>
          <w:color w:val="000000" w:themeColor="text1"/>
          <w:kern w:val="24"/>
        </w:rPr>
        <w:t>:</w:t>
      </w:r>
      <w:proofErr w:type="gramEnd"/>
      <w:r w:rsidRPr="00B52500">
        <w:rPr>
          <w:rFonts w:ascii="Arial" w:eastAsiaTheme="minorEastAsia" w:hAnsi="Arial" w:cs="Arial"/>
          <w:color w:val="000000" w:themeColor="text1"/>
          <w:kern w:val="24"/>
        </w:rPr>
        <w:t xml:space="preserve"> similarly defined as </w:t>
      </w:r>
      <w:r w:rsidRPr="00B52500">
        <w:rPr>
          <w:rFonts w:ascii="Arial" w:eastAsiaTheme="minorEastAsia" w:hAnsi="Arial" w:cs="Arial"/>
          <w:i/>
          <w:iCs/>
          <w:color w:val="000000" w:themeColor="text1"/>
          <w:kern w:val="24"/>
        </w:rPr>
        <w:t>a recognised interest in land or property vested in an individual or group and can apply separately to land or development on it</w:t>
      </w:r>
      <w:r w:rsidRPr="00B52500">
        <w:rPr>
          <w:rFonts w:ascii="Arial" w:eastAsiaTheme="minorEastAsia" w:hAnsi="Arial" w:cs="Arial"/>
          <w:color w:val="000000" w:themeColor="text1"/>
          <w:kern w:val="24"/>
        </w:rPr>
        <w:t xml:space="preserve">. </w:t>
      </w:r>
    </w:p>
    <w:p w14:paraId="5CA1D8D0" w14:textId="77777777" w:rsidR="000E028F" w:rsidRPr="00B52500" w:rsidRDefault="000E028F" w:rsidP="00B52500">
      <w:pPr>
        <w:pStyle w:val="ListeParagraf"/>
        <w:numPr>
          <w:ilvl w:val="0"/>
          <w:numId w:val="7"/>
        </w:numPr>
        <w:ind w:left="810" w:hanging="630"/>
        <w:jc w:val="both"/>
        <w:rPr>
          <w:rFonts w:ascii="Arial" w:hAnsi="Arial" w:cs="Arial"/>
        </w:rPr>
      </w:pPr>
      <w:r w:rsidRPr="00B52500">
        <w:rPr>
          <w:rFonts w:ascii="Arial" w:eastAsiaTheme="minorEastAsia" w:hAnsi="Arial" w:cs="Arial"/>
          <w:color w:val="000000" w:themeColor="text1"/>
          <w:kern w:val="24"/>
        </w:rPr>
        <w:t xml:space="preserve">Rights may cover access, use, development, inheritance, or transfer, and may exist in parallel with ownership. </w:t>
      </w:r>
    </w:p>
    <w:p w14:paraId="48078FC2" w14:textId="69BB32FA" w:rsidR="000E028F" w:rsidRPr="00B52500" w:rsidRDefault="000E028F" w:rsidP="00B52500">
      <w:pPr>
        <w:pStyle w:val="ListeParagraf"/>
        <w:numPr>
          <w:ilvl w:val="0"/>
          <w:numId w:val="7"/>
        </w:numPr>
        <w:ind w:left="810" w:hanging="630"/>
        <w:jc w:val="both"/>
        <w:rPr>
          <w:rFonts w:ascii="Arial" w:hAnsi="Arial" w:cs="Arial"/>
        </w:rPr>
      </w:pPr>
      <w:r w:rsidRPr="00B52500">
        <w:rPr>
          <w:rFonts w:ascii="Arial" w:eastAsiaTheme="minorEastAsia" w:hAnsi="Arial" w:cs="Arial"/>
          <w:color w:val="000000" w:themeColor="text1"/>
          <w:kern w:val="24"/>
        </w:rPr>
        <w:t xml:space="preserve">The ways in which a society allocates tenure and rights to land is an important indicator of that society, since rights to land can be held to reflect rights in other areas of public life. </w:t>
      </w:r>
    </w:p>
    <w:p w14:paraId="4D9F8932" w14:textId="02E800AA" w:rsidR="000E028F" w:rsidRPr="00B52500" w:rsidRDefault="000E028F" w:rsidP="00CD3C1B">
      <w:pPr>
        <w:jc w:val="both"/>
        <w:rPr>
          <w:rFonts w:ascii="Arial" w:hAnsi="Arial" w:cs="Arial"/>
          <w:sz w:val="24"/>
          <w:szCs w:val="24"/>
        </w:rPr>
      </w:pPr>
    </w:p>
    <w:p w14:paraId="196E1AA7" w14:textId="06BD218B" w:rsidR="000E028F" w:rsidRPr="00C412D3" w:rsidRDefault="00B52500" w:rsidP="00B52500">
      <w:pPr>
        <w:pStyle w:val="NormalWeb"/>
        <w:spacing w:before="154" w:beforeAutospacing="0" w:after="0" w:afterAutospacing="0"/>
        <w:jc w:val="both"/>
        <w:rPr>
          <w:rFonts w:ascii="Arial" w:eastAsiaTheme="minorEastAsia" w:hAnsi="Arial" w:cs="Arial"/>
          <w:b/>
          <w:color w:val="C00000"/>
          <w:kern w:val="24"/>
        </w:rPr>
      </w:pPr>
      <w:bookmarkStart w:id="0" w:name="_GoBack"/>
      <w:r w:rsidRPr="00C412D3">
        <w:rPr>
          <w:rFonts w:ascii="Arial" w:eastAsiaTheme="minorEastAsia" w:hAnsi="Arial" w:cs="Arial"/>
          <w:b/>
          <w:color w:val="C00000"/>
          <w:kern w:val="24"/>
        </w:rPr>
        <w:t xml:space="preserve">Land tenure systems vary considerably between different cultural and economic contexts. </w:t>
      </w:r>
      <w:r w:rsidR="000E028F" w:rsidRPr="00C412D3">
        <w:rPr>
          <w:rFonts w:ascii="Arial" w:hAnsi="Arial" w:cs="Arial"/>
          <w:b/>
          <w:color w:val="C00000"/>
        </w:rPr>
        <w:t>Many countries have more than one regime of legal tenure:</w:t>
      </w:r>
    </w:p>
    <w:bookmarkEnd w:id="0"/>
    <w:p w14:paraId="47EC5BF4" w14:textId="77777777" w:rsidR="000E028F" w:rsidRPr="00B52500" w:rsidRDefault="000E028F" w:rsidP="00CD3C1B">
      <w:pPr>
        <w:pStyle w:val="NormalWeb"/>
        <w:numPr>
          <w:ilvl w:val="0"/>
          <w:numId w:val="2"/>
        </w:numPr>
        <w:jc w:val="both"/>
        <w:rPr>
          <w:rFonts w:ascii="Arial" w:eastAsiaTheme="minorEastAsia" w:hAnsi="Arial" w:cs="Arial"/>
          <w:color w:val="000000" w:themeColor="text1"/>
          <w:kern w:val="24"/>
        </w:rPr>
      </w:pPr>
      <w:r w:rsidRPr="00B52500">
        <w:rPr>
          <w:rFonts w:ascii="Arial" w:eastAsiaTheme="minorEastAsia" w:hAnsi="Arial" w:cs="Arial"/>
          <w:color w:val="000000" w:themeColor="text1"/>
          <w:kern w:val="24"/>
        </w:rPr>
        <w:t>Customary</w:t>
      </w:r>
    </w:p>
    <w:p w14:paraId="51908312" w14:textId="77777777" w:rsidR="000E028F" w:rsidRPr="00B52500" w:rsidRDefault="000E028F" w:rsidP="00CD3C1B">
      <w:pPr>
        <w:pStyle w:val="NormalWeb"/>
        <w:numPr>
          <w:ilvl w:val="0"/>
          <w:numId w:val="2"/>
        </w:numPr>
        <w:jc w:val="both"/>
        <w:rPr>
          <w:rFonts w:ascii="Arial" w:eastAsiaTheme="minorEastAsia" w:hAnsi="Arial" w:cs="Arial"/>
          <w:color w:val="000000" w:themeColor="text1"/>
          <w:kern w:val="24"/>
        </w:rPr>
      </w:pPr>
      <w:r w:rsidRPr="00B52500">
        <w:rPr>
          <w:rFonts w:ascii="Arial" w:eastAsiaTheme="minorEastAsia" w:hAnsi="Arial" w:cs="Arial"/>
          <w:color w:val="000000" w:themeColor="text1"/>
          <w:kern w:val="24"/>
        </w:rPr>
        <w:t xml:space="preserve">Statutory (including private, public and communal) and </w:t>
      </w:r>
    </w:p>
    <w:p w14:paraId="300124CE" w14:textId="77777777" w:rsidR="000E028F" w:rsidRPr="00B52500" w:rsidRDefault="000E028F" w:rsidP="00CD3C1B">
      <w:pPr>
        <w:pStyle w:val="NormalWeb"/>
        <w:numPr>
          <w:ilvl w:val="0"/>
          <w:numId w:val="2"/>
        </w:numPr>
        <w:jc w:val="both"/>
        <w:rPr>
          <w:rFonts w:ascii="Arial" w:eastAsiaTheme="minorEastAsia" w:hAnsi="Arial" w:cs="Arial"/>
          <w:color w:val="000000" w:themeColor="text1"/>
          <w:kern w:val="24"/>
        </w:rPr>
      </w:pPr>
      <w:r w:rsidRPr="00B52500">
        <w:rPr>
          <w:rFonts w:ascii="Arial" w:eastAsiaTheme="minorEastAsia" w:hAnsi="Arial" w:cs="Arial"/>
          <w:color w:val="000000" w:themeColor="text1"/>
          <w:kern w:val="24"/>
        </w:rPr>
        <w:t>Religious (e.g. Islamic)</w:t>
      </w:r>
    </w:p>
    <w:p w14:paraId="36EDAF74" w14:textId="133533B0" w:rsidR="000E028F" w:rsidRPr="00B52500" w:rsidRDefault="000E028F" w:rsidP="00CD3C1B">
      <w:pPr>
        <w:pStyle w:val="NormalWeb"/>
        <w:numPr>
          <w:ilvl w:val="0"/>
          <w:numId w:val="2"/>
        </w:numPr>
        <w:jc w:val="both"/>
        <w:rPr>
          <w:rFonts w:ascii="Arial" w:eastAsiaTheme="minorEastAsia" w:hAnsi="Arial" w:cs="Arial"/>
          <w:color w:val="000000" w:themeColor="text1"/>
          <w:kern w:val="24"/>
        </w:rPr>
      </w:pPr>
      <w:r w:rsidRPr="00B52500">
        <w:rPr>
          <w:rFonts w:ascii="Arial" w:eastAsiaTheme="minorEastAsia" w:hAnsi="Arial" w:cs="Arial"/>
          <w:color w:val="000000" w:themeColor="text1"/>
          <w:kern w:val="24"/>
        </w:rPr>
        <w:t>Legal plurality exists in many countries</w:t>
      </w:r>
    </w:p>
    <w:p w14:paraId="038FE4A2" w14:textId="1EC20FF9" w:rsidR="00175744" w:rsidRPr="00B52500" w:rsidRDefault="00175744" w:rsidP="006C6F95">
      <w:pPr>
        <w:pStyle w:val="NormalWeb"/>
        <w:jc w:val="both"/>
        <w:rPr>
          <w:rFonts w:ascii="Arial" w:eastAsiaTheme="minorEastAsia" w:hAnsi="Arial" w:cs="Arial"/>
          <w:color w:val="000000" w:themeColor="text1"/>
          <w:kern w:val="24"/>
        </w:rPr>
      </w:pPr>
      <w:r w:rsidRPr="00B52500">
        <w:rPr>
          <w:rFonts w:ascii="Arial" w:eastAsiaTheme="minorEastAsia" w:hAnsi="Arial" w:cs="Arial"/>
          <w:color w:val="000000" w:themeColor="text1"/>
          <w:kern w:val="24"/>
        </w:rPr>
        <w:t>Each of these regimes have strengths and weaknesses. In addition, there are many categories of semi-formal (</w:t>
      </w:r>
      <w:proofErr w:type="spellStart"/>
      <w:r w:rsidRPr="00B52500">
        <w:rPr>
          <w:rFonts w:ascii="Arial" w:eastAsiaTheme="minorEastAsia" w:hAnsi="Arial" w:cs="Arial"/>
          <w:color w:val="000000" w:themeColor="text1"/>
          <w:kern w:val="24"/>
        </w:rPr>
        <w:t>eg</w:t>
      </w:r>
      <w:proofErr w:type="spellEnd"/>
      <w:r w:rsidRPr="00B52500">
        <w:rPr>
          <w:rFonts w:ascii="Arial" w:eastAsiaTheme="minorEastAsia" w:hAnsi="Arial" w:cs="Arial"/>
          <w:color w:val="000000" w:themeColor="text1"/>
          <w:kern w:val="24"/>
        </w:rPr>
        <w:t xml:space="preserve"> when somebody legally owns the land but has not registered it or developed the land with planning permission), together with nonformal unauthorised occupation. Each of these categories performs a part of the overall land and housing market and serves the needs of different groups at different times. Listing them all is therefore vital in preparing a tenure and rights matrix. This should include customary, religious and public tenure categories where appropriate. In many urbanising countries, a typical range of tenures includes the following categories:  </w:t>
      </w:r>
    </w:p>
    <w:p w14:paraId="3557985E" w14:textId="4242C9C2"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t>Pavement or street dweller</w:t>
      </w:r>
    </w:p>
    <w:p w14:paraId="7C7D0FDB" w14:textId="77777777"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t>Squatter tenant</w:t>
      </w:r>
    </w:p>
    <w:p w14:paraId="64D65039" w14:textId="77777777"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lastRenderedPageBreak/>
        <w:t>Squatter ‘owner’</w:t>
      </w:r>
    </w:p>
    <w:p w14:paraId="0CD08ABA" w14:textId="77777777"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t>Tenant in unauthorised subdivision</w:t>
      </w:r>
    </w:p>
    <w:p w14:paraId="3766CA40" w14:textId="77777777"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t>Owner of unauthorised subdivision</w:t>
      </w:r>
    </w:p>
    <w:p w14:paraId="7D69DA6E" w14:textId="77777777"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t>Legal owner, unauthorised construction</w:t>
      </w:r>
    </w:p>
    <w:p w14:paraId="60ED9E5A" w14:textId="77777777"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t>Tenant with formal contract</w:t>
      </w:r>
    </w:p>
    <w:p w14:paraId="16E0CE38" w14:textId="77777777"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t>Leaseholder</w:t>
      </w:r>
    </w:p>
    <w:p w14:paraId="495406EC" w14:textId="77777777" w:rsidR="00175744" w:rsidRPr="00B52500" w:rsidRDefault="00175744" w:rsidP="00CD3C1B">
      <w:pPr>
        <w:pStyle w:val="ListeParagraf"/>
        <w:numPr>
          <w:ilvl w:val="0"/>
          <w:numId w:val="4"/>
        </w:numPr>
        <w:jc w:val="both"/>
        <w:rPr>
          <w:rFonts w:ascii="Arial" w:hAnsi="Arial" w:cs="Arial"/>
        </w:rPr>
      </w:pPr>
      <w:r w:rsidRPr="00B52500">
        <w:rPr>
          <w:rFonts w:ascii="Arial" w:eastAsiaTheme="minorEastAsia" w:hAnsi="Arial" w:cs="Arial"/>
          <w:color w:val="000000" w:themeColor="text1"/>
          <w:kern w:val="24"/>
        </w:rPr>
        <w:t xml:space="preserve">Freeholder with mortgage </w:t>
      </w:r>
    </w:p>
    <w:p w14:paraId="1A356965" w14:textId="5E4BDCFF" w:rsidR="000E028F" w:rsidRPr="00B52500" w:rsidRDefault="00175744" w:rsidP="006C6F95">
      <w:pPr>
        <w:pStyle w:val="ListeParagraf"/>
        <w:numPr>
          <w:ilvl w:val="0"/>
          <w:numId w:val="4"/>
        </w:numPr>
        <w:rPr>
          <w:rFonts w:ascii="Arial" w:eastAsiaTheme="minorEastAsia" w:hAnsi="Arial" w:cs="Arial"/>
          <w:color w:val="000000" w:themeColor="text1"/>
          <w:kern w:val="24"/>
        </w:rPr>
      </w:pPr>
      <w:r w:rsidRPr="00B52500">
        <w:rPr>
          <w:rFonts w:ascii="Arial" w:eastAsiaTheme="minorEastAsia" w:hAnsi="Arial" w:cs="Arial"/>
          <w:color w:val="000000" w:themeColor="text1"/>
          <w:kern w:val="24"/>
        </w:rPr>
        <w:t>Freeholder without mortgage</w:t>
      </w:r>
      <w:r w:rsidRPr="00B52500">
        <w:rPr>
          <w:rFonts w:ascii="Arial" w:eastAsiaTheme="minorEastAsia" w:hAnsi="Arial" w:cs="Arial"/>
          <w:noProof/>
          <w:color w:val="000000" w:themeColor="text1"/>
          <w:kern w:val="24"/>
          <w:lang w:val="tr-TR" w:eastAsia="tr-TR"/>
        </w:rPr>
        <w:drawing>
          <wp:inline distT="0" distB="0" distL="0" distR="0" wp14:anchorId="444320A9" wp14:editId="761900D9">
            <wp:extent cx="5578263" cy="44265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487"/>
                    <a:stretch/>
                  </pic:blipFill>
                  <pic:spPr bwMode="auto">
                    <a:xfrm>
                      <a:off x="0" y="0"/>
                      <a:ext cx="5584266" cy="4431349"/>
                    </a:xfrm>
                    <a:prstGeom prst="rect">
                      <a:avLst/>
                    </a:prstGeom>
                    <a:ln>
                      <a:noFill/>
                    </a:ln>
                    <a:extLst>
                      <a:ext uri="{53640926-AAD7-44D8-BBD7-CCE9431645EC}">
                        <a14:shadowObscured xmlns:a14="http://schemas.microsoft.com/office/drawing/2010/main"/>
                      </a:ext>
                    </a:extLst>
                  </pic:spPr>
                </pic:pic>
              </a:graphicData>
            </a:graphic>
          </wp:inline>
        </w:drawing>
      </w:r>
    </w:p>
    <w:p w14:paraId="32098141" w14:textId="7B38C9CB" w:rsidR="000E028F" w:rsidRPr="00B52500" w:rsidRDefault="00CD3C1B" w:rsidP="00CD3C1B">
      <w:pPr>
        <w:jc w:val="both"/>
        <w:rPr>
          <w:rFonts w:ascii="Arial" w:hAnsi="Arial" w:cs="Arial"/>
          <w:sz w:val="24"/>
          <w:szCs w:val="24"/>
          <w:lang w:eastAsia="en-GB"/>
        </w:rPr>
      </w:pPr>
      <w:r w:rsidRPr="00B52500">
        <w:rPr>
          <w:rFonts w:ascii="Arial" w:hAnsi="Arial" w:cs="Arial"/>
          <w:sz w:val="24"/>
          <w:szCs w:val="24"/>
          <w:lang w:eastAsia="en-GB"/>
        </w:rPr>
        <w:t>To p</w:t>
      </w:r>
      <w:r w:rsidR="00175744" w:rsidRPr="00B52500">
        <w:rPr>
          <w:rFonts w:ascii="Arial" w:hAnsi="Arial" w:cs="Arial"/>
          <w:sz w:val="24"/>
          <w:szCs w:val="24"/>
          <w:lang w:eastAsia="en-GB"/>
        </w:rPr>
        <w:t>repare a full matrix</w:t>
      </w:r>
      <w:r w:rsidR="00F5423F" w:rsidRPr="00B52500">
        <w:rPr>
          <w:rFonts w:ascii="Arial" w:hAnsi="Arial" w:cs="Arial"/>
          <w:sz w:val="24"/>
          <w:szCs w:val="24"/>
          <w:lang w:eastAsia="en-GB"/>
        </w:rPr>
        <w:t>, follow these simple steps:</w:t>
      </w:r>
    </w:p>
    <w:p w14:paraId="20A4C104" w14:textId="010C9337" w:rsidR="00B52500" w:rsidRDefault="00F5423F" w:rsidP="00CD3C1B">
      <w:pPr>
        <w:pStyle w:val="ListeParagraf"/>
        <w:numPr>
          <w:ilvl w:val="0"/>
          <w:numId w:val="5"/>
        </w:numPr>
        <w:jc w:val="both"/>
        <w:rPr>
          <w:rFonts w:ascii="Arial" w:eastAsiaTheme="minorEastAsia" w:hAnsi="Arial" w:cs="Arial"/>
        </w:rPr>
      </w:pPr>
      <w:r w:rsidRPr="00B52500">
        <w:rPr>
          <w:rFonts w:ascii="Arial" w:eastAsiaTheme="minorEastAsia" w:hAnsi="Arial" w:cs="Arial"/>
        </w:rPr>
        <w:t xml:space="preserve">List the full range of tenure categories </w:t>
      </w:r>
      <w:r w:rsidR="00B52500">
        <w:rPr>
          <w:rFonts w:ascii="Arial" w:eastAsiaTheme="minorEastAsia" w:hAnsi="Arial" w:cs="Arial"/>
        </w:rPr>
        <w:t>(formal. Semi-</w:t>
      </w:r>
      <w:r w:rsidR="00BD1839">
        <w:rPr>
          <w:rFonts w:ascii="Arial" w:eastAsiaTheme="minorEastAsia" w:hAnsi="Arial" w:cs="Arial"/>
        </w:rPr>
        <w:t>formal</w:t>
      </w:r>
      <w:r w:rsidR="00B52500">
        <w:rPr>
          <w:rFonts w:ascii="Arial" w:eastAsiaTheme="minorEastAsia" w:hAnsi="Arial" w:cs="Arial"/>
        </w:rPr>
        <w:t xml:space="preserve"> and non-formal, plus customary</w:t>
      </w:r>
      <w:r w:rsidR="00BD1839">
        <w:rPr>
          <w:rFonts w:ascii="Arial" w:eastAsiaTheme="minorEastAsia" w:hAnsi="Arial" w:cs="Arial"/>
        </w:rPr>
        <w:t xml:space="preserve"> and religious categories) </w:t>
      </w:r>
      <w:r w:rsidRPr="00B52500">
        <w:rPr>
          <w:rFonts w:ascii="Arial" w:eastAsiaTheme="minorEastAsia" w:hAnsi="Arial" w:cs="Arial"/>
        </w:rPr>
        <w:t xml:space="preserve">that you think exist in your city using the example above where appropriate but adapting it to reflect local conditions. </w:t>
      </w:r>
    </w:p>
    <w:p w14:paraId="63E48384" w14:textId="72D8C50E" w:rsidR="00F5423F" w:rsidRPr="00B52500" w:rsidRDefault="00F5423F" w:rsidP="00CD3C1B">
      <w:pPr>
        <w:pStyle w:val="ListeParagraf"/>
        <w:numPr>
          <w:ilvl w:val="0"/>
          <w:numId w:val="5"/>
        </w:numPr>
        <w:jc w:val="both"/>
        <w:rPr>
          <w:rFonts w:ascii="Arial" w:eastAsiaTheme="minorEastAsia" w:hAnsi="Arial" w:cs="Arial"/>
        </w:rPr>
      </w:pPr>
      <w:r w:rsidRPr="00B52500">
        <w:rPr>
          <w:rFonts w:ascii="Arial" w:eastAsiaTheme="minorEastAsia" w:hAnsi="Arial" w:cs="Arial"/>
        </w:rPr>
        <w:t>If possible, indicate the proportion that each represents of the total housing stock.</w:t>
      </w:r>
      <w:r w:rsidR="00B52500">
        <w:rPr>
          <w:rFonts w:ascii="Arial" w:eastAsiaTheme="minorEastAsia" w:hAnsi="Arial" w:cs="Arial"/>
        </w:rPr>
        <w:t xml:space="preserve"> This can be achieved simply by adjusting the width of the tenure column to indicate a proportion of the total housing stock.</w:t>
      </w:r>
    </w:p>
    <w:p w14:paraId="08A49927" w14:textId="69D15A98" w:rsidR="00F5423F" w:rsidRPr="00B52500" w:rsidRDefault="00F5423F" w:rsidP="00CD3C1B">
      <w:pPr>
        <w:pStyle w:val="ListeParagraf"/>
        <w:numPr>
          <w:ilvl w:val="0"/>
          <w:numId w:val="5"/>
        </w:numPr>
        <w:jc w:val="both"/>
        <w:rPr>
          <w:rFonts w:ascii="Arial" w:eastAsiaTheme="minorEastAsia" w:hAnsi="Arial" w:cs="Arial"/>
        </w:rPr>
      </w:pPr>
      <w:r w:rsidRPr="00B52500">
        <w:rPr>
          <w:rFonts w:ascii="Arial" w:eastAsiaTheme="minorEastAsia" w:hAnsi="Arial" w:cs="Arial"/>
        </w:rPr>
        <w:t>Assess the level of de facto security associated with each tenure category. This may vary from the legal status since security is influenced by perception as well as legal status.</w:t>
      </w:r>
      <w:r w:rsidR="00BD1839">
        <w:rPr>
          <w:rFonts w:ascii="Arial" w:eastAsiaTheme="minorEastAsia" w:hAnsi="Arial" w:cs="Arial"/>
        </w:rPr>
        <w:t xml:space="preserve"> List the categories according to their de facto level of tenure security, with low security on the left and categories with increasing tenure to the right.</w:t>
      </w:r>
    </w:p>
    <w:p w14:paraId="0449765B" w14:textId="565B247E" w:rsidR="00F5423F" w:rsidRPr="00B52500" w:rsidRDefault="00F5423F" w:rsidP="00CD3C1B">
      <w:pPr>
        <w:pStyle w:val="ListeParagraf"/>
        <w:numPr>
          <w:ilvl w:val="0"/>
          <w:numId w:val="5"/>
        </w:numPr>
        <w:jc w:val="both"/>
        <w:rPr>
          <w:rFonts w:ascii="Arial" w:eastAsiaTheme="minorEastAsia" w:hAnsi="Arial" w:cs="Arial"/>
        </w:rPr>
      </w:pPr>
      <w:r w:rsidRPr="00B52500">
        <w:rPr>
          <w:rFonts w:ascii="Arial" w:eastAsiaTheme="minorEastAsia" w:hAnsi="Arial" w:cs="Arial"/>
        </w:rPr>
        <w:t xml:space="preserve">Indicate the level of rights associated with each tenure category within the following matrix. You can indicate easily if the rights apply to men only by inserting a backward slash (\), for women only a forward slash (/) and for men </w:t>
      </w:r>
      <w:r w:rsidRPr="00B52500">
        <w:rPr>
          <w:rFonts w:ascii="Arial" w:eastAsiaTheme="minorEastAsia" w:hAnsi="Arial" w:cs="Arial"/>
        </w:rPr>
        <w:lastRenderedPageBreak/>
        <w:t>and women equally, a cross (x)</w:t>
      </w:r>
      <w:r w:rsidR="006D767A" w:rsidRPr="00B52500">
        <w:rPr>
          <w:rFonts w:ascii="Arial" w:eastAsiaTheme="minorEastAsia" w:hAnsi="Arial" w:cs="Arial"/>
        </w:rPr>
        <w:t xml:space="preserve">. For each category, it is useful to distinguish between the tenure holder and </w:t>
      </w:r>
      <w:r w:rsidR="00C64CB3" w:rsidRPr="00B52500">
        <w:rPr>
          <w:rFonts w:ascii="Arial" w:eastAsiaTheme="minorEastAsia" w:hAnsi="Arial" w:cs="Arial"/>
        </w:rPr>
        <w:t>tenants. The matrix is shown below</w:t>
      </w:r>
      <w:r w:rsidRPr="00B52500">
        <w:rPr>
          <w:rFonts w:ascii="Arial" w:eastAsiaTheme="minorEastAsia" w:hAnsi="Arial" w:cs="Arial"/>
        </w:rPr>
        <w:t>:</w:t>
      </w:r>
    </w:p>
    <w:p w14:paraId="69B1A6DF" w14:textId="0AF67A16" w:rsidR="00F5423F" w:rsidRPr="00B52500" w:rsidRDefault="00F5423F" w:rsidP="00CD3C1B">
      <w:pPr>
        <w:jc w:val="both"/>
        <w:rPr>
          <w:rFonts w:ascii="Arial" w:eastAsiaTheme="minorEastAsia" w:hAnsi="Arial" w:cs="Arial"/>
          <w:sz w:val="24"/>
          <w:szCs w:val="24"/>
        </w:rPr>
      </w:pPr>
    </w:p>
    <w:p w14:paraId="2CB64C99" w14:textId="236C1767" w:rsidR="00F5423F" w:rsidRPr="00CD3C1B" w:rsidRDefault="00CD3C1B" w:rsidP="00CD3C1B">
      <w:pPr>
        <w:jc w:val="both"/>
        <w:rPr>
          <w:rFonts w:ascii="Times New Roman" w:eastAsiaTheme="minorEastAsia" w:hAnsi="Times New Roman" w:cs="Times New Roman"/>
          <w:sz w:val="24"/>
          <w:szCs w:val="24"/>
        </w:rPr>
      </w:pPr>
      <w:r w:rsidRPr="00CD3C1B">
        <w:rPr>
          <w:rFonts w:ascii="Times New Roman" w:eastAsiaTheme="minorEastAsia" w:hAnsi="Times New Roman" w:cs="Times New Roman"/>
          <w:noProof/>
          <w:sz w:val="24"/>
          <w:szCs w:val="24"/>
          <w:lang w:val="tr-TR" w:eastAsia="tr-TR"/>
        </w:rPr>
        <w:drawing>
          <wp:inline distT="0" distB="0" distL="0" distR="0" wp14:anchorId="2603E564" wp14:editId="720F363B">
            <wp:extent cx="5731510" cy="3281399"/>
            <wp:effectExtent l="0" t="0" r="2540" b="0"/>
            <wp:docPr id="3" name="Resim 3" descr="C:\Users\Dell\Desktop\matrix\GPA_land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atrix\GPA_landmatri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81399"/>
                    </a:xfrm>
                    <a:prstGeom prst="rect">
                      <a:avLst/>
                    </a:prstGeom>
                    <a:noFill/>
                    <a:ln>
                      <a:noFill/>
                    </a:ln>
                  </pic:spPr>
                </pic:pic>
              </a:graphicData>
            </a:graphic>
          </wp:inline>
        </w:drawing>
      </w:r>
    </w:p>
    <w:p w14:paraId="4596FFC6" w14:textId="5AEB8B5A" w:rsidR="00F5423F" w:rsidRPr="00B52500" w:rsidRDefault="006D767A" w:rsidP="00CD3C1B">
      <w:pPr>
        <w:jc w:val="both"/>
        <w:rPr>
          <w:rFonts w:ascii="Arial" w:hAnsi="Arial" w:cs="Arial"/>
          <w:sz w:val="24"/>
          <w:szCs w:val="24"/>
          <w:lang w:eastAsia="en-GB"/>
        </w:rPr>
      </w:pPr>
      <w:r w:rsidRPr="00B52500">
        <w:rPr>
          <w:rFonts w:ascii="Arial" w:hAnsi="Arial" w:cs="Arial"/>
          <w:sz w:val="24"/>
          <w:szCs w:val="24"/>
          <w:lang w:eastAsia="en-GB"/>
        </w:rPr>
        <w:t xml:space="preserve">This exercise can be very helpful in developing policies. The recommended approach is to identify any significant gaps in the level of perceived tenure security as this will indicate a barrier to moving from one tenure category to another. By introducing new options to bridge the gap, new options will be provided to meet demand and enable people to find an option that meets their needs. </w:t>
      </w:r>
    </w:p>
    <w:p w14:paraId="194DD6A9" w14:textId="375A1A2A" w:rsidR="006D767A" w:rsidRPr="00B52500" w:rsidRDefault="006D767A" w:rsidP="00CD3C1B">
      <w:pPr>
        <w:jc w:val="both"/>
        <w:rPr>
          <w:rFonts w:ascii="Arial" w:hAnsi="Arial" w:cs="Arial"/>
          <w:sz w:val="24"/>
          <w:szCs w:val="24"/>
          <w:lang w:eastAsia="en-GB"/>
        </w:rPr>
      </w:pPr>
      <w:r w:rsidRPr="00B52500">
        <w:rPr>
          <w:rFonts w:ascii="Arial" w:hAnsi="Arial" w:cs="Arial"/>
          <w:sz w:val="24"/>
          <w:szCs w:val="24"/>
          <w:lang w:eastAsia="en-GB"/>
        </w:rPr>
        <w:t>This approach is NOT intended to formalise all tenure options in the short term as policies that provide one option (</w:t>
      </w:r>
      <w:proofErr w:type="spellStart"/>
      <w:r w:rsidRPr="00B52500">
        <w:rPr>
          <w:rFonts w:ascii="Arial" w:hAnsi="Arial" w:cs="Arial"/>
          <w:sz w:val="24"/>
          <w:szCs w:val="24"/>
          <w:lang w:eastAsia="en-GB"/>
        </w:rPr>
        <w:t>eg</w:t>
      </w:r>
      <w:proofErr w:type="spellEnd"/>
      <w:r w:rsidRPr="00B52500">
        <w:rPr>
          <w:rFonts w:ascii="Arial" w:hAnsi="Arial" w:cs="Arial"/>
          <w:sz w:val="24"/>
          <w:szCs w:val="24"/>
          <w:lang w:eastAsia="en-GB"/>
        </w:rPr>
        <w:t xml:space="preserve"> individual titles) have been shown to be ineffective in meeting diverse needs. Experience shows that it is better to work with what exists and improve it, at least in the short to medium term. More formal options can then be developed in the medium to long term. </w:t>
      </w:r>
    </w:p>
    <w:p w14:paraId="16AA881D" w14:textId="6DC1C1B3" w:rsidR="006D767A" w:rsidRPr="00B52500" w:rsidRDefault="006D767A" w:rsidP="00CD3C1B">
      <w:pPr>
        <w:jc w:val="both"/>
        <w:rPr>
          <w:rFonts w:ascii="Arial" w:hAnsi="Arial" w:cs="Arial"/>
          <w:sz w:val="24"/>
          <w:szCs w:val="24"/>
          <w:lang w:eastAsia="en-GB"/>
        </w:rPr>
      </w:pPr>
      <w:r w:rsidRPr="00B52500">
        <w:rPr>
          <w:rFonts w:ascii="Arial" w:hAnsi="Arial" w:cs="Arial"/>
          <w:sz w:val="24"/>
          <w:szCs w:val="24"/>
          <w:lang w:eastAsia="en-GB"/>
        </w:rPr>
        <w:t>If you would like to complete one for your city and have it included in this list of examp</w:t>
      </w:r>
      <w:r w:rsidR="006C6F95" w:rsidRPr="00B52500">
        <w:rPr>
          <w:rFonts w:ascii="Arial" w:hAnsi="Arial" w:cs="Arial"/>
          <w:sz w:val="24"/>
          <w:szCs w:val="24"/>
          <w:lang w:eastAsia="en-GB"/>
        </w:rPr>
        <w:t>les, please send it to Geoff at</w:t>
      </w:r>
      <w:r w:rsidR="006C6F95" w:rsidRPr="00B52500">
        <w:rPr>
          <w:rFonts w:ascii="Arial" w:hAnsi="Arial" w:cs="Arial"/>
          <w:sz w:val="24"/>
          <w:szCs w:val="24"/>
        </w:rPr>
        <w:t> </w:t>
      </w:r>
      <w:hyperlink r:id="rId7" w:history="1">
        <w:r w:rsidR="006C6F95" w:rsidRPr="00B52500">
          <w:rPr>
            <w:rStyle w:val="Kpr"/>
            <w:rFonts w:ascii="Arial" w:hAnsi="Arial" w:cs="Arial"/>
            <w:sz w:val="24"/>
            <w:szCs w:val="24"/>
          </w:rPr>
          <w:t xml:space="preserve">gpalandmatrix@gmail.com </w:t>
        </w:r>
      </w:hyperlink>
      <w:r w:rsidRPr="00B52500">
        <w:rPr>
          <w:rFonts w:ascii="Arial" w:hAnsi="Arial" w:cs="Arial"/>
          <w:sz w:val="24"/>
          <w:szCs w:val="24"/>
          <w:lang w:eastAsia="en-GB"/>
        </w:rPr>
        <w:t xml:space="preserve"> – I hope it proves useful and fun!</w:t>
      </w:r>
    </w:p>
    <w:p w14:paraId="501B3852" w14:textId="77777777" w:rsidR="006D767A" w:rsidRPr="00B52500" w:rsidRDefault="006D767A" w:rsidP="00CD3C1B">
      <w:pPr>
        <w:jc w:val="both"/>
        <w:rPr>
          <w:rFonts w:ascii="Arial" w:hAnsi="Arial" w:cs="Arial"/>
          <w:sz w:val="24"/>
          <w:szCs w:val="24"/>
          <w:lang w:eastAsia="en-GB"/>
        </w:rPr>
      </w:pPr>
    </w:p>
    <w:p w14:paraId="7415E87F" w14:textId="77777777" w:rsidR="006D767A" w:rsidRPr="00B52500" w:rsidRDefault="006D767A" w:rsidP="00CD3C1B">
      <w:pPr>
        <w:jc w:val="both"/>
        <w:rPr>
          <w:rFonts w:ascii="Arial" w:hAnsi="Arial" w:cs="Arial"/>
          <w:sz w:val="24"/>
          <w:szCs w:val="24"/>
          <w:lang w:eastAsia="en-GB"/>
        </w:rPr>
      </w:pPr>
    </w:p>
    <w:p w14:paraId="2C5F122E" w14:textId="77777777" w:rsidR="00F5423F" w:rsidRPr="00CD3C1B" w:rsidRDefault="00F5423F" w:rsidP="00CD3C1B">
      <w:pPr>
        <w:jc w:val="both"/>
        <w:rPr>
          <w:rFonts w:ascii="Times New Roman" w:hAnsi="Times New Roman" w:cs="Times New Roman"/>
          <w:sz w:val="24"/>
          <w:szCs w:val="24"/>
          <w:lang w:eastAsia="en-GB"/>
        </w:rPr>
      </w:pPr>
    </w:p>
    <w:p w14:paraId="77109E04" w14:textId="538AF35E" w:rsidR="000E028F" w:rsidRPr="00CD3C1B" w:rsidRDefault="000E028F" w:rsidP="00CD3C1B">
      <w:pPr>
        <w:jc w:val="both"/>
        <w:rPr>
          <w:rFonts w:ascii="Times New Roman" w:hAnsi="Times New Roman" w:cs="Times New Roman"/>
          <w:sz w:val="24"/>
          <w:szCs w:val="24"/>
          <w:lang w:eastAsia="en-GB"/>
        </w:rPr>
      </w:pPr>
    </w:p>
    <w:p w14:paraId="14A736FE" w14:textId="6DF55994" w:rsidR="000E028F" w:rsidRPr="00CD3C1B" w:rsidRDefault="000E028F" w:rsidP="00CD3C1B">
      <w:pPr>
        <w:jc w:val="both"/>
        <w:rPr>
          <w:rFonts w:ascii="Times New Roman" w:hAnsi="Times New Roman" w:cs="Times New Roman"/>
          <w:sz w:val="24"/>
          <w:szCs w:val="24"/>
          <w:lang w:eastAsia="en-GB"/>
        </w:rPr>
      </w:pPr>
    </w:p>
    <w:p w14:paraId="787A8284" w14:textId="0EEDF69F" w:rsidR="000E028F" w:rsidRPr="00CD3C1B" w:rsidRDefault="000E028F" w:rsidP="00CD3C1B">
      <w:pPr>
        <w:jc w:val="both"/>
        <w:rPr>
          <w:rFonts w:ascii="Times New Roman" w:eastAsiaTheme="minorEastAsia" w:hAnsi="Times New Roman" w:cs="Times New Roman"/>
          <w:color w:val="000000" w:themeColor="text1"/>
          <w:kern w:val="24"/>
          <w:sz w:val="24"/>
          <w:szCs w:val="24"/>
          <w:lang w:eastAsia="en-GB"/>
        </w:rPr>
      </w:pPr>
    </w:p>
    <w:p w14:paraId="5A1ADE31" w14:textId="77777777" w:rsidR="000E028F" w:rsidRPr="00CD3C1B" w:rsidRDefault="000E028F" w:rsidP="00CD3C1B">
      <w:pPr>
        <w:jc w:val="both"/>
        <w:rPr>
          <w:rFonts w:ascii="Times New Roman" w:hAnsi="Times New Roman" w:cs="Times New Roman"/>
          <w:sz w:val="24"/>
          <w:szCs w:val="24"/>
          <w:lang w:eastAsia="en-GB"/>
        </w:rPr>
      </w:pPr>
    </w:p>
    <w:sectPr w:rsidR="000E028F" w:rsidRPr="00CD3C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6F45"/>
    <w:multiLevelType w:val="hybridMultilevel"/>
    <w:tmpl w:val="FA843C14"/>
    <w:lvl w:ilvl="0" w:tplc="356861AA">
      <w:start w:val="1"/>
      <w:numFmt w:val="bullet"/>
      <w:lvlText w:val="•"/>
      <w:lvlJc w:val="left"/>
      <w:pPr>
        <w:tabs>
          <w:tab w:val="num" w:pos="720"/>
        </w:tabs>
        <w:ind w:left="720" w:hanging="360"/>
      </w:pPr>
      <w:rPr>
        <w:rFonts w:ascii="Arial" w:hAnsi="Arial" w:hint="default"/>
      </w:rPr>
    </w:lvl>
    <w:lvl w:ilvl="1" w:tplc="547C949E" w:tentative="1">
      <w:start w:val="1"/>
      <w:numFmt w:val="bullet"/>
      <w:lvlText w:val="•"/>
      <w:lvlJc w:val="left"/>
      <w:pPr>
        <w:tabs>
          <w:tab w:val="num" w:pos="1440"/>
        </w:tabs>
        <w:ind w:left="1440" w:hanging="360"/>
      </w:pPr>
      <w:rPr>
        <w:rFonts w:ascii="Arial" w:hAnsi="Arial" w:hint="default"/>
      </w:rPr>
    </w:lvl>
    <w:lvl w:ilvl="2" w:tplc="DD0E1D1C" w:tentative="1">
      <w:start w:val="1"/>
      <w:numFmt w:val="bullet"/>
      <w:lvlText w:val="•"/>
      <w:lvlJc w:val="left"/>
      <w:pPr>
        <w:tabs>
          <w:tab w:val="num" w:pos="2160"/>
        </w:tabs>
        <w:ind w:left="2160" w:hanging="360"/>
      </w:pPr>
      <w:rPr>
        <w:rFonts w:ascii="Arial" w:hAnsi="Arial" w:hint="default"/>
      </w:rPr>
    </w:lvl>
    <w:lvl w:ilvl="3" w:tplc="38381D44" w:tentative="1">
      <w:start w:val="1"/>
      <w:numFmt w:val="bullet"/>
      <w:lvlText w:val="•"/>
      <w:lvlJc w:val="left"/>
      <w:pPr>
        <w:tabs>
          <w:tab w:val="num" w:pos="2880"/>
        </w:tabs>
        <w:ind w:left="2880" w:hanging="360"/>
      </w:pPr>
      <w:rPr>
        <w:rFonts w:ascii="Arial" w:hAnsi="Arial" w:hint="default"/>
      </w:rPr>
    </w:lvl>
    <w:lvl w:ilvl="4" w:tplc="0D6C62B4" w:tentative="1">
      <w:start w:val="1"/>
      <w:numFmt w:val="bullet"/>
      <w:lvlText w:val="•"/>
      <w:lvlJc w:val="left"/>
      <w:pPr>
        <w:tabs>
          <w:tab w:val="num" w:pos="3600"/>
        </w:tabs>
        <w:ind w:left="3600" w:hanging="360"/>
      </w:pPr>
      <w:rPr>
        <w:rFonts w:ascii="Arial" w:hAnsi="Arial" w:hint="default"/>
      </w:rPr>
    </w:lvl>
    <w:lvl w:ilvl="5" w:tplc="1C16D036" w:tentative="1">
      <w:start w:val="1"/>
      <w:numFmt w:val="bullet"/>
      <w:lvlText w:val="•"/>
      <w:lvlJc w:val="left"/>
      <w:pPr>
        <w:tabs>
          <w:tab w:val="num" w:pos="4320"/>
        </w:tabs>
        <w:ind w:left="4320" w:hanging="360"/>
      </w:pPr>
      <w:rPr>
        <w:rFonts w:ascii="Arial" w:hAnsi="Arial" w:hint="default"/>
      </w:rPr>
    </w:lvl>
    <w:lvl w:ilvl="6" w:tplc="5A364DA4" w:tentative="1">
      <w:start w:val="1"/>
      <w:numFmt w:val="bullet"/>
      <w:lvlText w:val="•"/>
      <w:lvlJc w:val="left"/>
      <w:pPr>
        <w:tabs>
          <w:tab w:val="num" w:pos="5040"/>
        </w:tabs>
        <w:ind w:left="5040" w:hanging="360"/>
      </w:pPr>
      <w:rPr>
        <w:rFonts w:ascii="Arial" w:hAnsi="Arial" w:hint="default"/>
      </w:rPr>
    </w:lvl>
    <w:lvl w:ilvl="7" w:tplc="05C6D1CE" w:tentative="1">
      <w:start w:val="1"/>
      <w:numFmt w:val="bullet"/>
      <w:lvlText w:val="•"/>
      <w:lvlJc w:val="left"/>
      <w:pPr>
        <w:tabs>
          <w:tab w:val="num" w:pos="5760"/>
        </w:tabs>
        <w:ind w:left="5760" w:hanging="360"/>
      </w:pPr>
      <w:rPr>
        <w:rFonts w:ascii="Arial" w:hAnsi="Arial" w:hint="default"/>
      </w:rPr>
    </w:lvl>
    <w:lvl w:ilvl="8" w:tplc="7A966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7643EF"/>
    <w:multiLevelType w:val="hybridMultilevel"/>
    <w:tmpl w:val="BA969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3F1101"/>
    <w:multiLevelType w:val="hybridMultilevel"/>
    <w:tmpl w:val="20E8CCB4"/>
    <w:lvl w:ilvl="0" w:tplc="B77A4038">
      <w:start w:val="1"/>
      <w:numFmt w:val="bullet"/>
      <w:lvlText w:val="•"/>
      <w:lvlJc w:val="left"/>
      <w:pPr>
        <w:tabs>
          <w:tab w:val="num" w:pos="720"/>
        </w:tabs>
        <w:ind w:left="720" w:hanging="360"/>
      </w:pPr>
      <w:rPr>
        <w:rFonts w:ascii="Arial" w:hAnsi="Arial" w:hint="default"/>
      </w:rPr>
    </w:lvl>
    <w:lvl w:ilvl="1" w:tplc="F272BA1A" w:tentative="1">
      <w:start w:val="1"/>
      <w:numFmt w:val="bullet"/>
      <w:lvlText w:val="•"/>
      <w:lvlJc w:val="left"/>
      <w:pPr>
        <w:tabs>
          <w:tab w:val="num" w:pos="1440"/>
        </w:tabs>
        <w:ind w:left="1440" w:hanging="360"/>
      </w:pPr>
      <w:rPr>
        <w:rFonts w:ascii="Arial" w:hAnsi="Arial" w:hint="default"/>
      </w:rPr>
    </w:lvl>
    <w:lvl w:ilvl="2" w:tplc="03AC21B2" w:tentative="1">
      <w:start w:val="1"/>
      <w:numFmt w:val="bullet"/>
      <w:lvlText w:val="•"/>
      <w:lvlJc w:val="left"/>
      <w:pPr>
        <w:tabs>
          <w:tab w:val="num" w:pos="2160"/>
        </w:tabs>
        <w:ind w:left="2160" w:hanging="360"/>
      </w:pPr>
      <w:rPr>
        <w:rFonts w:ascii="Arial" w:hAnsi="Arial" w:hint="default"/>
      </w:rPr>
    </w:lvl>
    <w:lvl w:ilvl="3" w:tplc="0038DC6E" w:tentative="1">
      <w:start w:val="1"/>
      <w:numFmt w:val="bullet"/>
      <w:lvlText w:val="•"/>
      <w:lvlJc w:val="left"/>
      <w:pPr>
        <w:tabs>
          <w:tab w:val="num" w:pos="2880"/>
        </w:tabs>
        <w:ind w:left="2880" w:hanging="360"/>
      </w:pPr>
      <w:rPr>
        <w:rFonts w:ascii="Arial" w:hAnsi="Arial" w:hint="default"/>
      </w:rPr>
    </w:lvl>
    <w:lvl w:ilvl="4" w:tplc="1F3C9976" w:tentative="1">
      <w:start w:val="1"/>
      <w:numFmt w:val="bullet"/>
      <w:lvlText w:val="•"/>
      <w:lvlJc w:val="left"/>
      <w:pPr>
        <w:tabs>
          <w:tab w:val="num" w:pos="3600"/>
        </w:tabs>
        <w:ind w:left="3600" w:hanging="360"/>
      </w:pPr>
      <w:rPr>
        <w:rFonts w:ascii="Arial" w:hAnsi="Arial" w:hint="default"/>
      </w:rPr>
    </w:lvl>
    <w:lvl w:ilvl="5" w:tplc="E6200C80" w:tentative="1">
      <w:start w:val="1"/>
      <w:numFmt w:val="bullet"/>
      <w:lvlText w:val="•"/>
      <w:lvlJc w:val="left"/>
      <w:pPr>
        <w:tabs>
          <w:tab w:val="num" w:pos="4320"/>
        </w:tabs>
        <w:ind w:left="4320" w:hanging="360"/>
      </w:pPr>
      <w:rPr>
        <w:rFonts w:ascii="Arial" w:hAnsi="Arial" w:hint="default"/>
      </w:rPr>
    </w:lvl>
    <w:lvl w:ilvl="6" w:tplc="0D749EF6" w:tentative="1">
      <w:start w:val="1"/>
      <w:numFmt w:val="bullet"/>
      <w:lvlText w:val="•"/>
      <w:lvlJc w:val="left"/>
      <w:pPr>
        <w:tabs>
          <w:tab w:val="num" w:pos="5040"/>
        </w:tabs>
        <w:ind w:left="5040" w:hanging="360"/>
      </w:pPr>
      <w:rPr>
        <w:rFonts w:ascii="Arial" w:hAnsi="Arial" w:hint="default"/>
      </w:rPr>
    </w:lvl>
    <w:lvl w:ilvl="7" w:tplc="B2E46A6A" w:tentative="1">
      <w:start w:val="1"/>
      <w:numFmt w:val="bullet"/>
      <w:lvlText w:val="•"/>
      <w:lvlJc w:val="left"/>
      <w:pPr>
        <w:tabs>
          <w:tab w:val="num" w:pos="5760"/>
        </w:tabs>
        <w:ind w:left="5760" w:hanging="360"/>
      </w:pPr>
      <w:rPr>
        <w:rFonts w:ascii="Arial" w:hAnsi="Arial" w:hint="default"/>
      </w:rPr>
    </w:lvl>
    <w:lvl w:ilvl="8" w:tplc="CC6A94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166692"/>
    <w:multiLevelType w:val="hybridMultilevel"/>
    <w:tmpl w:val="62F0262E"/>
    <w:lvl w:ilvl="0" w:tplc="033C8A84">
      <w:start w:val="1"/>
      <w:numFmt w:val="bullet"/>
      <w:lvlText w:val="•"/>
      <w:lvlJc w:val="left"/>
      <w:pPr>
        <w:tabs>
          <w:tab w:val="num" w:pos="720"/>
        </w:tabs>
        <w:ind w:left="720" w:hanging="360"/>
      </w:pPr>
      <w:rPr>
        <w:rFonts w:ascii="Arial" w:hAnsi="Arial" w:hint="default"/>
      </w:rPr>
    </w:lvl>
    <w:lvl w:ilvl="1" w:tplc="7F3818E8" w:tentative="1">
      <w:start w:val="1"/>
      <w:numFmt w:val="bullet"/>
      <w:lvlText w:val="•"/>
      <w:lvlJc w:val="left"/>
      <w:pPr>
        <w:tabs>
          <w:tab w:val="num" w:pos="1440"/>
        </w:tabs>
        <w:ind w:left="1440" w:hanging="360"/>
      </w:pPr>
      <w:rPr>
        <w:rFonts w:ascii="Arial" w:hAnsi="Arial" w:hint="default"/>
      </w:rPr>
    </w:lvl>
    <w:lvl w:ilvl="2" w:tplc="CF3EF5B4" w:tentative="1">
      <w:start w:val="1"/>
      <w:numFmt w:val="bullet"/>
      <w:lvlText w:val="•"/>
      <w:lvlJc w:val="left"/>
      <w:pPr>
        <w:tabs>
          <w:tab w:val="num" w:pos="2160"/>
        </w:tabs>
        <w:ind w:left="2160" w:hanging="360"/>
      </w:pPr>
      <w:rPr>
        <w:rFonts w:ascii="Arial" w:hAnsi="Arial" w:hint="default"/>
      </w:rPr>
    </w:lvl>
    <w:lvl w:ilvl="3" w:tplc="A75E5E74" w:tentative="1">
      <w:start w:val="1"/>
      <w:numFmt w:val="bullet"/>
      <w:lvlText w:val="•"/>
      <w:lvlJc w:val="left"/>
      <w:pPr>
        <w:tabs>
          <w:tab w:val="num" w:pos="2880"/>
        </w:tabs>
        <w:ind w:left="2880" w:hanging="360"/>
      </w:pPr>
      <w:rPr>
        <w:rFonts w:ascii="Arial" w:hAnsi="Arial" w:hint="default"/>
      </w:rPr>
    </w:lvl>
    <w:lvl w:ilvl="4" w:tplc="E82EEAB0" w:tentative="1">
      <w:start w:val="1"/>
      <w:numFmt w:val="bullet"/>
      <w:lvlText w:val="•"/>
      <w:lvlJc w:val="left"/>
      <w:pPr>
        <w:tabs>
          <w:tab w:val="num" w:pos="3600"/>
        </w:tabs>
        <w:ind w:left="3600" w:hanging="360"/>
      </w:pPr>
      <w:rPr>
        <w:rFonts w:ascii="Arial" w:hAnsi="Arial" w:hint="default"/>
      </w:rPr>
    </w:lvl>
    <w:lvl w:ilvl="5" w:tplc="0E0E9AB6" w:tentative="1">
      <w:start w:val="1"/>
      <w:numFmt w:val="bullet"/>
      <w:lvlText w:val="•"/>
      <w:lvlJc w:val="left"/>
      <w:pPr>
        <w:tabs>
          <w:tab w:val="num" w:pos="4320"/>
        </w:tabs>
        <w:ind w:left="4320" w:hanging="360"/>
      </w:pPr>
      <w:rPr>
        <w:rFonts w:ascii="Arial" w:hAnsi="Arial" w:hint="default"/>
      </w:rPr>
    </w:lvl>
    <w:lvl w:ilvl="6" w:tplc="CFF0A314" w:tentative="1">
      <w:start w:val="1"/>
      <w:numFmt w:val="bullet"/>
      <w:lvlText w:val="•"/>
      <w:lvlJc w:val="left"/>
      <w:pPr>
        <w:tabs>
          <w:tab w:val="num" w:pos="5040"/>
        </w:tabs>
        <w:ind w:left="5040" w:hanging="360"/>
      </w:pPr>
      <w:rPr>
        <w:rFonts w:ascii="Arial" w:hAnsi="Arial" w:hint="default"/>
      </w:rPr>
    </w:lvl>
    <w:lvl w:ilvl="7" w:tplc="CB2E2262" w:tentative="1">
      <w:start w:val="1"/>
      <w:numFmt w:val="bullet"/>
      <w:lvlText w:val="•"/>
      <w:lvlJc w:val="left"/>
      <w:pPr>
        <w:tabs>
          <w:tab w:val="num" w:pos="5760"/>
        </w:tabs>
        <w:ind w:left="5760" w:hanging="360"/>
      </w:pPr>
      <w:rPr>
        <w:rFonts w:ascii="Arial" w:hAnsi="Arial" w:hint="default"/>
      </w:rPr>
    </w:lvl>
    <w:lvl w:ilvl="8" w:tplc="86C0F6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704E7E"/>
    <w:multiLevelType w:val="hybridMultilevel"/>
    <w:tmpl w:val="F844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52FA5"/>
    <w:multiLevelType w:val="hybridMultilevel"/>
    <w:tmpl w:val="0A70D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DF7BD2"/>
    <w:multiLevelType w:val="hybridMultilevel"/>
    <w:tmpl w:val="101EBF08"/>
    <w:lvl w:ilvl="0" w:tplc="48208038">
      <w:start w:val="1"/>
      <w:numFmt w:val="bullet"/>
      <w:lvlText w:val="•"/>
      <w:lvlJc w:val="left"/>
      <w:pPr>
        <w:tabs>
          <w:tab w:val="num" w:pos="720"/>
        </w:tabs>
        <w:ind w:left="720" w:hanging="360"/>
      </w:pPr>
      <w:rPr>
        <w:rFonts w:ascii="Arial" w:hAnsi="Arial" w:hint="default"/>
      </w:rPr>
    </w:lvl>
    <w:lvl w:ilvl="1" w:tplc="86308462" w:tentative="1">
      <w:start w:val="1"/>
      <w:numFmt w:val="bullet"/>
      <w:lvlText w:val="•"/>
      <w:lvlJc w:val="left"/>
      <w:pPr>
        <w:tabs>
          <w:tab w:val="num" w:pos="1440"/>
        </w:tabs>
        <w:ind w:left="1440" w:hanging="360"/>
      </w:pPr>
      <w:rPr>
        <w:rFonts w:ascii="Arial" w:hAnsi="Arial" w:hint="default"/>
      </w:rPr>
    </w:lvl>
    <w:lvl w:ilvl="2" w:tplc="3CE45038" w:tentative="1">
      <w:start w:val="1"/>
      <w:numFmt w:val="bullet"/>
      <w:lvlText w:val="•"/>
      <w:lvlJc w:val="left"/>
      <w:pPr>
        <w:tabs>
          <w:tab w:val="num" w:pos="2160"/>
        </w:tabs>
        <w:ind w:left="2160" w:hanging="360"/>
      </w:pPr>
      <w:rPr>
        <w:rFonts w:ascii="Arial" w:hAnsi="Arial" w:hint="default"/>
      </w:rPr>
    </w:lvl>
    <w:lvl w:ilvl="3" w:tplc="E0B64194" w:tentative="1">
      <w:start w:val="1"/>
      <w:numFmt w:val="bullet"/>
      <w:lvlText w:val="•"/>
      <w:lvlJc w:val="left"/>
      <w:pPr>
        <w:tabs>
          <w:tab w:val="num" w:pos="2880"/>
        </w:tabs>
        <w:ind w:left="2880" w:hanging="360"/>
      </w:pPr>
      <w:rPr>
        <w:rFonts w:ascii="Arial" w:hAnsi="Arial" w:hint="default"/>
      </w:rPr>
    </w:lvl>
    <w:lvl w:ilvl="4" w:tplc="22F2101A" w:tentative="1">
      <w:start w:val="1"/>
      <w:numFmt w:val="bullet"/>
      <w:lvlText w:val="•"/>
      <w:lvlJc w:val="left"/>
      <w:pPr>
        <w:tabs>
          <w:tab w:val="num" w:pos="3600"/>
        </w:tabs>
        <w:ind w:left="3600" w:hanging="360"/>
      </w:pPr>
      <w:rPr>
        <w:rFonts w:ascii="Arial" w:hAnsi="Arial" w:hint="default"/>
      </w:rPr>
    </w:lvl>
    <w:lvl w:ilvl="5" w:tplc="35EE42E6" w:tentative="1">
      <w:start w:val="1"/>
      <w:numFmt w:val="bullet"/>
      <w:lvlText w:val="•"/>
      <w:lvlJc w:val="left"/>
      <w:pPr>
        <w:tabs>
          <w:tab w:val="num" w:pos="4320"/>
        </w:tabs>
        <w:ind w:left="4320" w:hanging="360"/>
      </w:pPr>
      <w:rPr>
        <w:rFonts w:ascii="Arial" w:hAnsi="Arial" w:hint="default"/>
      </w:rPr>
    </w:lvl>
    <w:lvl w:ilvl="6" w:tplc="ED94D0B4" w:tentative="1">
      <w:start w:val="1"/>
      <w:numFmt w:val="bullet"/>
      <w:lvlText w:val="•"/>
      <w:lvlJc w:val="left"/>
      <w:pPr>
        <w:tabs>
          <w:tab w:val="num" w:pos="5040"/>
        </w:tabs>
        <w:ind w:left="5040" w:hanging="360"/>
      </w:pPr>
      <w:rPr>
        <w:rFonts w:ascii="Arial" w:hAnsi="Arial" w:hint="default"/>
      </w:rPr>
    </w:lvl>
    <w:lvl w:ilvl="7" w:tplc="117C30C8" w:tentative="1">
      <w:start w:val="1"/>
      <w:numFmt w:val="bullet"/>
      <w:lvlText w:val="•"/>
      <w:lvlJc w:val="left"/>
      <w:pPr>
        <w:tabs>
          <w:tab w:val="num" w:pos="5760"/>
        </w:tabs>
        <w:ind w:left="5760" w:hanging="360"/>
      </w:pPr>
      <w:rPr>
        <w:rFonts w:ascii="Arial" w:hAnsi="Arial" w:hint="default"/>
      </w:rPr>
    </w:lvl>
    <w:lvl w:ilvl="8" w:tplc="C67E5A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0A6F04"/>
    <w:multiLevelType w:val="hybridMultilevel"/>
    <w:tmpl w:val="736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8F"/>
    <w:rsid w:val="000E028F"/>
    <w:rsid w:val="00175744"/>
    <w:rsid w:val="00247C4A"/>
    <w:rsid w:val="006C6F95"/>
    <w:rsid w:val="006D767A"/>
    <w:rsid w:val="00B52500"/>
    <w:rsid w:val="00BD1839"/>
    <w:rsid w:val="00C412D3"/>
    <w:rsid w:val="00C64CB3"/>
    <w:rsid w:val="00CD3C1B"/>
    <w:rsid w:val="00F5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9CB2"/>
  <w15:chartTrackingRefBased/>
  <w15:docId w15:val="{19596149-95A7-494F-A6B3-3C3955F5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028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E0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6D767A"/>
    <w:rPr>
      <w:color w:val="0563C1" w:themeColor="hyperlink"/>
      <w:u w:val="single"/>
    </w:rPr>
  </w:style>
  <w:style w:type="character" w:customStyle="1" w:styleId="UnresolvedMention1">
    <w:name w:val="Unresolved Mention1"/>
    <w:basedOn w:val="VarsaylanParagrafYazTipi"/>
    <w:uiPriority w:val="99"/>
    <w:semiHidden/>
    <w:unhideWhenUsed/>
    <w:rsid w:val="006D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345">
      <w:bodyDiv w:val="1"/>
      <w:marLeft w:val="0"/>
      <w:marRight w:val="0"/>
      <w:marTop w:val="0"/>
      <w:marBottom w:val="0"/>
      <w:divBdr>
        <w:top w:val="none" w:sz="0" w:space="0" w:color="auto"/>
        <w:left w:val="none" w:sz="0" w:space="0" w:color="auto"/>
        <w:bottom w:val="none" w:sz="0" w:space="0" w:color="auto"/>
        <w:right w:val="none" w:sz="0" w:space="0" w:color="auto"/>
      </w:divBdr>
      <w:divsChild>
        <w:div w:id="1356880591">
          <w:marLeft w:val="547"/>
          <w:marRight w:val="0"/>
          <w:marTop w:val="154"/>
          <w:marBottom w:val="0"/>
          <w:divBdr>
            <w:top w:val="none" w:sz="0" w:space="0" w:color="auto"/>
            <w:left w:val="none" w:sz="0" w:space="0" w:color="auto"/>
            <w:bottom w:val="none" w:sz="0" w:space="0" w:color="auto"/>
            <w:right w:val="none" w:sz="0" w:space="0" w:color="auto"/>
          </w:divBdr>
        </w:div>
        <w:div w:id="502625260">
          <w:marLeft w:val="547"/>
          <w:marRight w:val="0"/>
          <w:marTop w:val="154"/>
          <w:marBottom w:val="0"/>
          <w:divBdr>
            <w:top w:val="none" w:sz="0" w:space="0" w:color="auto"/>
            <w:left w:val="none" w:sz="0" w:space="0" w:color="auto"/>
            <w:bottom w:val="none" w:sz="0" w:space="0" w:color="auto"/>
            <w:right w:val="none" w:sz="0" w:space="0" w:color="auto"/>
          </w:divBdr>
        </w:div>
        <w:div w:id="488257313">
          <w:marLeft w:val="547"/>
          <w:marRight w:val="0"/>
          <w:marTop w:val="154"/>
          <w:marBottom w:val="0"/>
          <w:divBdr>
            <w:top w:val="none" w:sz="0" w:space="0" w:color="auto"/>
            <w:left w:val="none" w:sz="0" w:space="0" w:color="auto"/>
            <w:bottom w:val="none" w:sz="0" w:space="0" w:color="auto"/>
            <w:right w:val="none" w:sz="0" w:space="0" w:color="auto"/>
          </w:divBdr>
        </w:div>
        <w:div w:id="1311403970">
          <w:marLeft w:val="547"/>
          <w:marRight w:val="0"/>
          <w:marTop w:val="154"/>
          <w:marBottom w:val="0"/>
          <w:divBdr>
            <w:top w:val="none" w:sz="0" w:space="0" w:color="auto"/>
            <w:left w:val="none" w:sz="0" w:space="0" w:color="auto"/>
            <w:bottom w:val="none" w:sz="0" w:space="0" w:color="auto"/>
            <w:right w:val="none" w:sz="0" w:space="0" w:color="auto"/>
          </w:divBdr>
        </w:div>
      </w:divsChild>
    </w:div>
    <w:div w:id="1489177180">
      <w:bodyDiv w:val="1"/>
      <w:marLeft w:val="0"/>
      <w:marRight w:val="0"/>
      <w:marTop w:val="0"/>
      <w:marBottom w:val="0"/>
      <w:divBdr>
        <w:top w:val="none" w:sz="0" w:space="0" w:color="auto"/>
        <w:left w:val="none" w:sz="0" w:space="0" w:color="auto"/>
        <w:bottom w:val="none" w:sz="0" w:space="0" w:color="auto"/>
        <w:right w:val="none" w:sz="0" w:space="0" w:color="auto"/>
      </w:divBdr>
      <w:divsChild>
        <w:div w:id="823664580">
          <w:marLeft w:val="547"/>
          <w:marRight w:val="0"/>
          <w:marTop w:val="144"/>
          <w:marBottom w:val="0"/>
          <w:divBdr>
            <w:top w:val="none" w:sz="0" w:space="0" w:color="auto"/>
            <w:left w:val="none" w:sz="0" w:space="0" w:color="auto"/>
            <w:bottom w:val="none" w:sz="0" w:space="0" w:color="auto"/>
            <w:right w:val="none" w:sz="0" w:space="0" w:color="auto"/>
          </w:divBdr>
        </w:div>
        <w:div w:id="403571728">
          <w:marLeft w:val="547"/>
          <w:marRight w:val="0"/>
          <w:marTop w:val="144"/>
          <w:marBottom w:val="0"/>
          <w:divBdr>
            <w:top w:val="none" w:sz="0" w:space="0" w:color="auto"/>
            <w:left w:val="none" w:sz="0" w:space="0" w:color="auto"/>
            <w:bottom w:val="none" w:sz="0" w:space="0" w:color="auto"/>
            <w:right w:val="none" w:sz="0" w:space="0" w:color="auto"/>
          </w:divBdr>
        </w:div>
        <w:div w:id="1004943239">
          <w:marLeft w:val="547"/>
          <w:marRight w:val="0"/>
          <w:marTop w:val="144"/>
          <w:marBottom w:val="0"/>
          <w:divBdr>
            <w:top w:val="none" w:sz="0" w:space="0" w:color="auto"/>
            <w:left w:val="none" w:sz="0" w:space="0" w:color="auto"/>
            <w:bottom w:val="none" w:sz="0" w:space="0" w:color="auto"/>
            <w:right w:val="none" w:sz="0" w:space="0" w:color="auto"/>
          </w:divBdr>
        </w:div>
      </w:divsChild>
    </w:div>
    <w:div w:id="2030905918">
      <w:bodyDiv w:val="1"/>
      <w:marLeft w:val="0"/>
      <w:marRight w:val="0"/>
      <w:marTop w:val="0"/>
      <w:marBottom w:val="0"/>
      <w:divBdr>
        <w:top w:val="none" w:sz="0" w:space="0" w:color="auto"/>
        <w:left w:val="none" w:sz="0" w:space="0" w:color="auto"/>
        <w:bottom w:val="none" w:sz="0" w:space="0" w:color="auto"/>
        <w:right w:val="none" w:sz="0" w:space="0" w:color="auto"/>
      </w:divBdr>
      <w:divsChild>
        <w:div w:id="129445220">
          <w:marLeft w:val="547"/>
          <w:marRight w:val="0"/>
          <w:marTop w:val="154"/>
          <w:marBottom w:val="0"/>
          <w:divBdr>
            <w:top w:val="none" w:sz="0" w:space="0" w:color="auto"/>
            <w:left w:val="none" w:sz="0" w:space="0" w:color="auto"/>
            <w:bottom w:val="none" w:sz="0" w:space="0" w:color="auto"/>
            <w:right w:val="none" w:sz="0" w:space="0" w:color="auto"/>
          </w:divBdr>
        </w:div>
      </w:divsChild>
    </w:div>
    <w:div w:id="2034303729">
      <w:bodyDiv w:val="1"/>
      <w:marLeft w:val="0"/>
      <w:marRight w:val="0"/>
      <w:marTop w:val="0"/>
      <w:marBottom w:val="0"/>
      <w:divBdr>
        <w:top w:val="none" w:sz="0" w:space="0" w:color="auto"/>
        <w:left w:val="none" w:sz="0" w:space="0" w:color="auto"/>
        <w:bottom w:val="none" w:sz="0" w:space="0" w:color="auto"/>
        <w:right w:val="none" w:sz="0" w:space="0" w:color="auto"/>
      </w:divBdr>
      <w:divsChild>
        <w:div w:id="1605839872">
          <w:marLeft w:val="547"/>
          <w:marRight w:val="0"/>
          <w:marTop w:val="130"/>
          <w:marBottom w:val="0"/>
          <w:divBdr>
            <w:top w:val="none" w:sz="0" w:space="0" w:color="auto"/>
            <w:left w:val="none" w:sz="0" w:space="0" w:color="auto"/>
            <w:bottom w:val="none" w:sz="0" w:space="0" w:color="auto"/>
            <w:right w:val="none" w:sz="0" w:space="0" w:color="auto"/>
          </w:divBdr>
        </w:div>
        <w:div w:id="1819607971">
          <w:marLeft w:val="547"/>
          <w:marRight w:val="0"/>
          <w:marTop w:val="130"/>
          <w:marBottom w:val="0"/>
          <w:divBdr>
            <w:top w:val="none" w:sz="0" w:space="0" w:color="auto"/>
            <w:left w:val="none" w:sz="0" w:space="0" w:color="auto"/>
            <w:bottom w:val="none" w:sz="0" w:space="0" w:color="auto"/>
            <w:right w:val="none" w:sz="0" w:space="0" w:color="auto"/>
          </w:divBdr>
        </w:div>
        <w:div w:id="358706439">
          <w:marLeft w:val="547"/>
          <w:marRight w:val="0"/>
          <w:marTop w:val="130"/>
          <w:marBottom w:val="0"/>
          <w:divBdr>
            <w:top w:val="none" w:sz="0" w:space="0" w:color="auto"/>
            <w:left w:val="none" w:sz="0" w:space="0" w:color="auto"/>
            <w:bottom w:val="none" w:sz="0" w:space="0" w:color="auto"/>
            <w:right w:val="none" w:sz="0" w:space="0" w:color="auto"/>
          </w:divBdr>
        </w:div>
        <w:div w:id="1599094144">
          <w:marLeft w:val="547"/>
          <w:marRight w:val="0"/>
          <w:marTop w:val="130"/>
          <w:marBottom w:val="0"/>
          <w:divBdr>
            <w:top w:val="none" w:sz="0" w:space="0" w:color="auto"/>
            <w:left w:val="none" w:sz="0" w:space="0" w:color="auto"/>
            <w:bottom w:val="none" w:sz="0" w:space="0" w:color="auto"/>
            <w:right w:val="none" w:sz="0" w:space="0" w:color="auto"/>
          </w:divBdr>
        </w:div>
        <w:div w:id="785268321">
          <w:marLeft w:val="547"/>
          <w:marRight w:val="0"/>
          <w:marTop w:val="130"/>
          <w:marBottom w:val="0"/>
          <w:divBdr>
            <w:top w:val="none" w:sz="0" w:space="0" w:color="auto"/>
            <w:left w:val="none" w:sz="0" w:space="0" w:color="auto"/>
            <w:bottom w:val="none" w:sz="0" w:space="0" w:color="auto"/>
            <w:right w:val="none" w:sz="0" w:space="0" w:color="auto"/>
          </w:divBdr>
        </w:div>
        <w:div w:id="86729373">
          <w:marLeft w:val="547"/>
          <w:marRight w:val="0"/>
          <w:marTop w:val="130"/>
          <w:marBottom w:val="0"/>
          <w:divBdr>
            <w:top w:val="none" w:sz="0" w:space="0" w:color="auto"/>
            <w:left w:val="none" w:sz="0" w:space="0" w:color="auto"/>
            <w:bottom w:val="none" w:sz="0" w:space="0" w:color="auto"/>
            <w:right w:val="none" w:sz="0" w:space="0" w:color="auto"/>
          </w:divBdr>
        </w:div>
        <w:div w:id="1493913989">
          <w:marLeft w:val="547"/>
          <w:marRight w:val="0"/>
          <w:marTop w:val="130"/>
          <w:marBottom w:val="0"/>
          <w:divBdr>
            <w:top w:val="none" w:sz="0" w:space="0" w:color="auto"/>
            <w:left w:val="none" w:sz="0" w:space="0" w:color="auto"/>
            <w:bottom w:val="none" w:sz="0" w:space="0" w:color="auto"/>
            <w:right w:val="none" w:sz="0" w:space="0" w:color="auto"/>
          </w:divBdr>
        </w:div>
        <w:div w:id="1475759887">
          <w:marLeft w:val="547"/>
          <w:marRight w:val="0"/>
          <w:marTop w:val="130"/>
          <w:marBottom w:val="0"/>
          <w:divBdr>
            <w:top w:val="none" w:sz="0" w:space="0" w:color="auto"/>
            <w:left w:val="none" w:sz="0" w:space="0" w:color="auto"/>
            <w:bottom w:val="none" w:sz="0" w:space="0" w:color="auto"/>
            <w:right w:val="none" w:sz="0" w:space="0" w:color="auto"/>
          </w:divBdr>
        </w:div>
        <w:div w:id="1716738903">
          <w:marLeft w:val="547"/>
          <w:marRight w:val="0"/>
          <w:marTop w:val="130"/>
          <w:marBottom w:val="0"/>
          <w:divBdr>
            <w:top w:val="none" w:sz="0" w:space="0" w:color="auto"/>
            <w:left w:val="none" w:sz="0" w:space="0" w:color="auto"/>
            <w:bottom w:val="none" w:sz="0" w:space="0" w:color="auto"/>
            <w:right w:val="none" w:sz="0" w:space="0" w:color="auto"/>
          </w:divBdr>
        </w:div>
        <w:div w:id="89555043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landmatri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Payne</dc:creator>
  <cp:keywords/>
  <dc:description/>
  <cp:lastModifiedBy>Dell</cp:lastModifiedBy>
  <cp:revision>3</cp:revision>
  <dcterms:created xsi:type="dcterms:W3CDTF">2019-07-13T21:45:00Z</dcterms:created>
  <dcterms:modified xsi:type="dcterms:W3CDTF">2019-07-14T19:52:00Z</dcterms:modified>
</cp:coreProperties>
</file>